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967" w:type="dxa"/>
        <w:tblLayout w:type="fixed"/>
        <w:tblLook w:val="04A0" w:firstRow="1" w:lastRow="0" w:firstColumn="1" w:lastColumn="0" w:noHBand="0" w:noVBand="1"/>
      </w:tblPr>
      <w:tblGrid>
        <w:gridCol w:w="410"/>
        <w:gridCol w:w="1185"/>
        <w:gridCol w:w="807"/>
        <w:gridCol w:w="236"/>
        <w:gridCol w:w="236"/>
        <w:gridCol w:w="236"/>
        <w:gridCol w:w="11857"/>
      </w:tblGrid>
      <w:tr w:rsidR="001B7D95" w:rsidRPr="00DB6D87" w:rsidTr="001B7D95">
        <w:trPr>
          <w:trHeight w:val="1399"/>
        </w:trPr>
        <w:tc>
          <w:tcPr>
            <w:tcW w:w="413" w:type="dxa"/>
            <w:tcBorders>
              <w:top w:val="nil"/>
              <w:left w:val="nil"/>
              <w:bottom w:val="nil"/>
              <w:right w:val="nil"/>
            </w:tcBorders>
            <w:shd w:val="clear" w:color="auto" w:fill="auto"/>
            <w:vAlign w:val="bottom"/>
            <w:hideMark/>
          </w:tcPr>
          <w:p w:rsidR="001B7D95" w:rsidRPr="00DB6D87" w:rsidRDefault="001B7D95">
            <w:pPr>
              <w:contextualSpacing w:val="0"/>
              <w:rPr>
                <w:rFonts w:ascii="Liberation Serif" w:hAnsi="Liberation Serif" w:cs="Liberation Serif"/>
              </w:rPr>
            </w:pPr>
          </w:p>
        </w:tc>
        <w:tc>
          <w:tcPr>
            <w:tcW w:w="1202" w:type="dxa"/>
            <w:tcBorders>
              <w:top w:val="nil"/>
              <w:left w:val="nil"/>
              <w:bottom w:val="nil"/>
              <w:right w:val="nil"/>
            </w:tcBorders>
            <w:shd w:val="clear" w:color="auto" w:fill="auto"/>
            <w:vAlign w:val="bottom"/>
            <w:hideMark/>
          </w:tcPr>
          <w:p w:rsidR="001B7D95" w:rsidRPr="00DB6D87" w:rsidRDefault="001B7D95">
            <w:pPr>
              <w:jc w:val="right"/>
              <w:rPr>
                <w:rFonts w:ascii="Liberation Serif" w:hAnsi="Liberation Serif" w:cs="Liberation Serif"/>
                <w:sz w:val="20"/>
                <w:szCs w:val="20"/>
              </w:rPr>
            </w:pPr>
          </w:p>
        </w:tc>
        <w:tc>
          <w:tcPr>
            <w:tcW w:w="817" w:type="dxa"/>
            <w:tcBorders>
              <w:top w:val="nil"/>
              <w:left w:val="nil"/>
              <w:bottom w:val="nil"/>
              <w:right w:val="nil"/>
            </w:tcBorders>
            <w:shd w:val="clear" w:color="auto" w:fill="auto"/>
            <w:vAlign w:val="bottom"/>
            <w:hideMark/>
          </w:tcPr>
          <w:p w:rsidR="001B7D95" w:rsidRPr="00DB6D87" w:rsidRDefault="001B7D95">
            <w:pPr>
              <w:jc w:val="right"/>
              <w:rPr>
                <w:rFonts w:ascii="Liberation Serif" w:hAnsi="Liberation Serif" w:cs="Liberation Serif"/>
                <w:sz w:val="20"/>
                <w:szCs w:val="20"/>
              </w:rPr>
            </w:pPr>
          </w:p>
        </w:tc>
        <w:tc>
          <w:tcPr>
            <w:tcW w:w="36" w:type="dxa"/>
            <w:tcBorders>
              <w:top w:val="nil"/>
              <w:left w:val="nil"/>
              <w:bottom w:val="nil"/>
              <w:right w:val="nil"/>
            </w:tcBorders>
            <w:shd w:val="clear" w:color="auto" w:fill="auto"/>
            <w:noWrap/>
            <w:vAlign w:val="center"/>
            <w:hideMark/>
          </w:tcPr>
          <w:p w:rsidR="001B7D95" w:rsidRPr="00DB6D87" w:rsidRDefault="001B7D95">
            <w:pPr>
              <w:jc w:val="right"/>
              <w:rPr>
                <w:rFonts w:ascii="Liberation Serif" w:hAnsi="Liberation Serif" w:cs="Liberation Serif"/>
                <w:sz w:val="20"/>
                <w:szCs w:val="20"/>
              </w:rPr>
            </w:pPr>
          </w:p>
        </w:tc>
        <w:tc>
          <w:tcPr>
            <w:tcW w:w="36" w:type="dxa"/>
            <w:tcBorders>
              <w:top w:val="nil"/>
              <w:left w:val="nil"/>
              <w:bottom w:val="nil"/>
              <w:right w:val="nil"/>
            </w:tcBorders>
            <w:shd w:val="clear" w:color="auto" w:fill="auto"/>
            <w:noWrap/>
            <w:vAlign w:val="center"/>
            <w:hideMark/>
          </w:tcPr>
          <w:p w:rsidR="001B7D95" w:rsidRPr="00DB6D87" w:rsidRDefault="001B7D95">
            <w:pPr>
              <w:rPr>
                <w:rFonts w:ascii="Liberation Serif" w:hAnsi="Liberation Serif" w:cs="Liberation Serif"/>
                <w:sz w:val="20"/>
                <w:szCs w:val="20"/>
              </w:rPr>
            </w:pPr>
          </w:p>
        </w:tc>
        <w:tc>
          <w:tcPr>
            <w:tcW w:w="36" w:type="dxa"/>
            <w:tcBorders>
              <w:top w:val="nil"/>
              <w:left w:val="nil"/>
              <w:bottom w:val="nil"/>
              <w:right w:val="nil"/>
            </w:tcBorders>
            <w:shd w:val="clear" w:color="auto" w:fill="auto"/>
            <w:noWrap/>
            <w:vAlign w:val="center"/>
            <w:hideMark/>
          </w:tcPr>
          <w:p w:rsidR="001B7D95" w:rsidRPr="00DB6D87" w:rsidRDefault="001B7D95">
            <w:pPr>
              <w:rPr>
                <w:rFonts w:ascii="Liberation Serif" w:hAnsi="Liberation Serif" w:cs="Liberation Serif"/>
                <w:sz w:val="20"/>
                <w:szCs w:val="20"/>
              </w:rPr>
            </w:pPr>
          </w:p>
        </w:tc>
        <w:tc>
          <w:tcPr>
            <w:tcW w:w="12060" w:type="dxa"/>
            <w:tcBorders>
              <w:top w:val="nil"/>
              <w:left w:val="nil"/>
              <w:bottom w:val="nil"/>
              <w:right w:val="nil"/>
            </w:tcBorders>
            <w:shd w:val="clear" w:color="auto" w:fill="auto"/>
            <w:noWrap/>
            <w:vAlign w:val="center"/>
            <w:hideMark/>
          </w:tcPr>
          <w:p w:rsidR="00DB6D87" w:rsidRDefault="00DB6D87" w:rsidP="00DB6D87">
            <w:pPr>
              <w:jc w:val="center"/>
              <w:rPr>
                <w:rFonts w:ascii="Liberation Serif" w:hAnsi="Liberation Serif" w:cs="Liberation Serif"/>
                <w:sz w:val="24"/>
                <w:szCs w:val="24"/>
              </w:rPr>
            </w:pPr>
            <w:r>
              <w:rPr>
                <w:rFonts w:ascii="Liberation Serif" w:hAnsi="Liberation Serif" w:cs="Liberation Serif"/>
                <w:sz w:val="24"/>
                <w:szCs w:val="24"/>
              </w:rPr>
              <w:t xml:space="preserve">                                                                              </w:t>
            </w:r>
            <w:r w:rsidR="001B7D95" w:rsidRPr="00DB6D87">
              <w:rPr>
                <w:rFonts w:ascii="Liberation Serif" w:hAnsi="Liberation Serif" w:cs="Liberation Serif"/>
                <w:sz w:val="24"/>
                <w:szCs w:val="24"/>
              </w:rPr>
              <w:t>Приложение № 2</w:t>
            </w:r>
          </w:p>
          <w:p w:rsidR="00DB6D87" w:rsidRDefault="00DB6D87">
            <w:pPr>
              <w:jc w:val="right"/>
              <w:rPr>
                <w:rFonts w:ascii="Liberation Serif" w:hAnsi="Liberation Serif" w:cs="Liberation Serif"/>
                <w:sz w:val="24"/>
                <w:szCs w:val="24"/>
              </w:rPr>
            </w:pPr>
            <w:r>
              <w:rPr>
                <w:rFonts w:ascii="Liberation Serif" w:hAnsi="Liberation Serif" w:cs="Liberation Serif"/>
                <w:sz w:val="24"/>
                <w:szCs w:val="24"/>
              </w:rPr>
              <w:t xml:space="preserve"> к муниципальной программе «</w:t>
            </w:r>
            <w:r w:rsidR="001B7D95" w:rsidRPr="00DB6D87">
              <w:rPr>
                <w:rFonts w:ascii="Liberation Serif" w:hAnsi="Liberation Serif" w:cs="Liberation Serif"/>
                <w:sz w:val="24"/>
                <w:szCs w:val="24"/>
              </w:rPr>
              <w:t xml:space="preserve">Социальная </w:t>
            </w:r>
          </w:p>
          <w:p w:rsidR="00DB6D87" w:rsidRDefault="00DB6D87" w:rsidP="00DB6D87">
            <w:pPr>
              <w:jc w:val="center"/>
              <w:rPr>
                <w:rFonts w:ascii="Liberation Serif" w:hAnsi="Liberation Serif" w:cs="Liberation Serif"/>
                <w:sz w:val="24"/>
                <w:szCs w:val="24"/>
              </w:rPr>
            </w:pPr>
            <w:r>
              <w:rPr>
                <w:rFonts w:ascii="Liberation Serif" w:hAnsi="Liberation Serif" w:cs="Liberation Serif"/>
                <w:sz w:val="24"/>
                <w:szCs w:val="24"/>
              </w:rPr>
              <w:t xml:space="preserve">                                                                                                               </w:t>
            </w:r>
            <w:r w:rsidR="001B7D95" w:rsidRPr="00DB6D87">
              <w:rPr>
                <w:rFonts w:ascii="Liberation Serif" w:hAnsi="Liberation Serif" w:cs="Liberation Serif"/>
                <w:sz w:val="24"/>
                <w:szCs w:val="24"/>
              </w:rPr>
              <w:t xml:space="preserve">поддержка населения </w:t>
            </w:r>
            <w:proofErr w:type="spellStart"/>
            <w:r w:rsidR="001B7D95" w:rsidRPr="00DB6D87">
              <w:rPr>
                <w:rFonts w:ascii="Liberation Serif" w:hAnsi="Liberation Serif" w:cs="Liberation Serif"/>
                <w:sz w:val="24"/>
                <w:szCs w:val="24"/>
              </w:rPr>
              <w:t>Арамильского</w:t>
            </w:r>
            <w:proofErr w:type="spellEnd"/>
            <w:r w:rsidR="001B7D95" w:rsidRPr="00DB6D87">
              <w:rPr>
                <w:rFonts w:ascii="Liberation Serif" w:hAnsi="Liberation Serif" w:cs="Liberation Serif"/>
                <w:sz w:val="24"/>
                <w:szCs w:val="24"/>
              </w:rPr>
              <w:t xml:space="preserve"> </w:t>
            </w:r>
          </w:p>
          <w:p w:rsidR="001B7D95" w:rsidRPr="00DB6D87" w:rsidRDefault="00DB6D87" w:rsidP="00DB6D87">
            <w:pPr>
              <w:jc w:val="center"/>
              <w:rPr>
                <w:rFonts w:ascii="Liberation Serif" w:hAnsi="Liberation Serif" w:cs="Liberation Serif"/>
                <w:sz w:val="24"/>
                <w:szCs w:val="24"/>
              </w:rPr>
            </w:pPr>
            <w:r>
              <w:rPr>
                <w:rFonts w:ascii="Liberation Serif" w:hAnsi="Liberation Serif" w:cs="Liberation Serif"/>
                <w:sz w:val="24"/>
                <w:szCs w:val="24"/>
              </w:rPr>
              <w:t xml:space="preserve">                                                                                                         </w:t>
            </w:r>
            <w:r w:rsidR="001B7D95" w:rsidRPr="00DB6D87">
              <w:rPr>
                <w:rFonts w:ascii="Liberation Serif" w:hAnsi="Liberation Serif" w:cs="Liberation Serif"/>
                <w:sz w:val="24"/>
                <w:szCs w:val="24"/>
              </w:rPr>
              <w:t>городского округа до 2028 года</w:t>
            </w:r>
            <w:r>
              <w:rPr>
                <w:rFonts w:ascii="Liberation Serif" w:hAnsi="Liberation Serif" w:cs="Liberation Serif"/>
                <w:sz w:val="24"/>
                <w:szCs w:val="24"/>
              </w:rPr>
              <w:t>»</w:t>
            </w:r>
          </w:p>
        </w:tc>
      </w:tr>
      <w:tr w:rsidR="001B7D95" w:rsidRPr="00DB6D87" w:rsidTr="001B7D95">
        <w:trPr>
          <w:trHeight w:val="510"/>
        </w:trPr>
        <w:tc>
          <w:tcPr>
            <w:tcW w:w="14600" w:type="dxa"/>
            <w:gridSpan w:val="7"/>
            <w:tcBorders>
              <w:top w:val="nil"/>
              <w:left w:val="nil"/>
              <w:bottom w:val="nil"/>
              <w:right w:val="nil"/>
            </w:tcBorders>
            <w:shd w:val="clear" w:color="auto" w:fill="auto"/>
            <w:noWrap/>
            <w:vAlign w:val="bottom"/>
            <w:hideMark/>
          </w:tcPr>
          <w:p w:rsidR="001B7D95" w:rsidRPr="00DB6D87" w:rsidRDefault="001B7D95">
            <w:pPr>
              <w:jc w:val="center"/>
              <w:rPr>
                <w:rFonts w:ascii="Liberation Serif" w:hAnsi="Liberation Serif" w:cs="Liberation Serif"/>
                <w:b/>
                <w:bCs/>
                <w:sz w:val="22"/>
              </w:rPr>
            </w:pPr>
            <w:r w:rsidRPr="00DB6D87">
              <w:rPr>
                <w:rFonts w:ascii="Liberation Serif" w:hAnsi="Liberation Serif" w:cs="Liberation Serif"/>
                <w:b/>
                <w:bCs/>
                <w:sz w:val="22"/>
              </w:rPr>
              <w:t>ПЛАН МЕРОПРИЯТИЙ</w:t>
            </w:r>
          </w:p>
        </w:tc>
      </w:tr>
      <w:tr w:rsidR="001B7D95" w:rsidRPr="00DB6D87" w:rsidTr="001B7D95">
        <w:trPr>
          <w:trHeight w:val="255"/>
        </w:trPr>
        <w:tc>
          <w:tcPr>
            <w:tcW w:w="14600" w:type="dxa"/>
            <w:gridSpan w:val="7"/>
            <w:tcBorders>
              <w:top w:val="nil"/>
              <w:left w:val="nil"/>
              <w:bottom w:val="nil"/>
              <w:right w:val="nil"/>
            </w:tcBorders>
            <w:shd w:val="clear" w:color="auto" w:fill="auto"/>
            <w:noWrap/>
            <w:vAlign w:val="bottom"/>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по выполнению муниципальной программы</w:t>
            </w:r>
          </w:p>
        </w:tc>
      </w:tr>
      <w:tr w:rsidR="001B7D95" w:rsidRPr="00DB6D87" w:rsidTr="001B7D95">
        <w:trPr>
          <w:trHeight w:val="510"/>
        </w:trPr>
        <w:tc>
          <w:tcPr>
            <w:tcW w:w="14600" w:type="dxa"/>
            <w:gridSpan w:val="7"/>
            <w:tcBorders>
              <w:top w:val="nil"/>
              <w:left w:val="nil"/>
              <w:bottom w:val="nil"/>
              <w:right w:val="nil"/>
            </w:tcBorders>
            <w:shd w:val="clear" w:color="auto" w:fill="auto"/>
            <w:hideMark/>
          </w:tcPr>
          <w:p w:rsidR="001B7D95" w:rsidRPr="00DB6D87" w:rsidRDefault="00CF54C2">
            <w:pPr>
              <w:jc w:val="center"/>
              <w:rPr>
                <w:rFonts w:ascii="Liberation Serif" w:hAnsi="Liberation Serif" w:cs="Liberation Serif"/>
                <w:b/>
                <w:bCs/>
                <w:sz w:val="20"/>
                <w:szCs w:val="20"/>
              </w:rPr>
            </w:pPr>
            <w:r>
              <w:rPr>
                <w:rFonts w:ascii="Liberation Serif" w:hAnsi="Liberation Serif" w:cs="Liberation Serif"/>
                <w:b/>
                <w:bCs/>
                <w:sz w:val="20"/>
                <w:szCs w:val="20"/>
              </w:rPr>
              <w:t>«</w:t>
            </w:r>
            <w:r w:rsidR="001B7D95" w:rsidRPr="00DB6D87">
              <w:rPr>
                <w:rFonts w:ascii="Liberation Serif" w:hAnsi="Liberation Serif" w:cs="Liberation Serif"/>
                <w:b/>
                <w:bCs/>
                <w:sz w:val="20"/>
                <w:szCs w:val="20"/>
              </w:rPr>
              <w:t xml:space="preserve">Социальная поддержка населения </w:t>
            </w:r>
            <w:proofErr w:type="spellStart"/>
            <w:r w:rsidR="001B7D95" w:rsidRPr="00DB6D87">
              <w:rPr>
                <w:rFonts w:ascii="Liberation Serif" w:hAnsi="Liberation Serif" w:cs="Liberation Serif"/>
                <w:b/>
                <w:bCs/>
                <w:sz w:val="20"/>
                <w:szCs w:val="20"/>
              </w:rPr>
              <w:t>Арамильского</w:t>
            </w:r>
            <w:proofErr w:type="spellEnd"/>
            <w:r w:rsidR="001B7D95" w:rsidRPr="00DB6D87">
              <w:rPr>
                <w:rFonts w:ascii="Liberation Serif" w:hAnsi="Liberation Serif" w:cs="Liberation Serif"/>
                <w:b/>
                <w:bCs/>
                <w:sz w:val="20"/>
                <w:szCs w:val="20"/>
              </w:rPr>
              <w:t xml:space="preserve"> городского округа до 2028 года</w:t>
            </w:r>
            <w:r>
              <w:rPr>
                <w:rFonts w:ascii="Liberation Serif" w:hAnsi="Liberation Serif" w:cs="Liberation Serif"/>
                <w:b/>
                <w:bCs/>
                <w:sz w:val="20"/>
                <w:szCs w:val="20"/>
              </w:rPr>
              <w:t>»</w:t>
            </w:r>
          </w:p>
        </w:tc>
      </w:tr>
    </w:tbl>
    <w:p w:rsidR="006B4564" w:rsidRPr="00DB6D87" w:rsidRDefault="00CF54C2" w:rsidP="001B7D95">
      <w:pPr>
        <w:spacing w:after="0" w:line="240" w:lineRule="auto"/>
        <w:rPr>
          <w:rFonts w:ascii="Liberation Serif" w:hAnsi="Liberation Serif" w:cs="Liberation Serif"/>
        </w:rPr>
      </w:pPr>
    </w:p>
    <w:tbl>
      <w:tblPr>
        <w:tblW w:w="14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98"/>
        <w:gridCol w:w="2553"/>
        <w:gridCol w:w="1598"/>
        <w:gridCol w:w="1597"/>
        <w:gridCol w:w="1597"/>
        <w:gridCol w:w="1597"/>
        <w:gridCol w:w="1597"/>
        <w:gridCol w:w="1597"/>
        <w:gridCol w:w="2033"/>
      </w:tblGrid>
      <w:tr w:rsidR="001B7D95" w:rsidRPr="00DB6D87" w:rsidTr="001B7D95">
        <w:trPr>
          <w:cantSplit/>
          <w:trHeight w:val="255"/>
        </w:trPr>
        <w:tc>
          <w:tcPr>
            <w:tcW w:w="798" w:type="dxa"/>
            <w:vMerge w:val="restart"/>
            <w:shd w:val="clear" w:color="auto" w:fill="auto"/>
            <w:hideMark/>
          </w:tcPr>
          <w:p w:rsidR="001B7D95" w:rsidRPr="00DB6D87" w:rsidRDefault="001B7D95">
            <w:pPr>
              <w:contextualSpacing w:val="0"/>
              <w:jc w:val="center"/>
              <w:rPr>
                <w:rFonts w:ascii="Liberation Serif" w:hAnsi="Liberation Serif" w:cs="Liberation Serif"/>
                <w:b/>
                <w:bCs/>
                <w:sz w:val="20"/>
                <w:szCs w:val="20"/>
              </w:rPr>
            </w:pPr>
            <w:r w:rsidRPr="00DB6D87">
              <w:rPr>
                <w:rFonts w:ascii="Liberation Serif" w:hAnsi="Liberation Serif" w:cs="Liberation Serif"/>
                <w:b/>
                <w:bCs/>
                <w:sz w:val="20"/>
                <w:szCs w:val="20"/>
              </w:rPr>
              <w:t>№ строки</w:t>
            </w:r>
          </w:p>
        </w:tc>
        <w:tc>
          <w:tcPr>
            <w:tcW w:w="2553" w:type="dxa"/>
            <w:vMerge w:val="restart"/>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Наименование мероприятия/Источники расходов на финансирование</w:t>
            </w:r>
          </w:p>
        </w:tc>
        <w:tc>
          <w:tcPr>
            <w:tcW w:w="9583" w:type="dxa"/>
            <w:gridSpan w:val="6"/>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Объёмы расходов на выполнение мероприятия за счёт всех источников ресурсного обеспечения, тыс. руб.</w:t>
            </w:r>
          </w:p>
        </w:tc>
        <w:tc>
          <w:tcPr>
            <w:tcW w:w="2033" w:type="dxa"/>
            <w:vMerge w:val="restart"/>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Номера целевых показателей, на достижение которых направлены мероприятия</w:t>
            </w:r>
          </w:p>
        </w:tc>
      </w:tr>
      <w:tr w:rsidR="001B7D95" w:rsidRPr="00DB6D87" w:rsidTr="00CF54C2">
        <w:trPr>
          <w:cantSplit/>
          <w:trHeight w:val="757"/>
        </w:trPr>
        <w:tc>
          <w:tcPr>
            <w:tcW w:w="798" w:type="dxa"/>
            <w:vMerge/>
            <w:vAlign w:val="center"/>
            <w:hideMark/>
          </w:tcPr>
          <w:p w:rsidR="001B7D95" w:rsidRPr="00DB6D87" w:rsidRDefault="001B7D95">
            <w:pPr>
              <w:rPr>
                <w:rFonts w:ascii="Liberation Serif" w:hAnsi="Liberation Serif" w:cs="Liberation Serif"/>
                <w:b/>
                <w:bCs/>
                <w:sz w:val="20"/>
                <w:szCs w:val="20"/>
              </w:rPr>
            </w:pPr>
          </w:p>
        </w:tc>
        <w:tc>
          <w:tcPr>
            <w:tcW w:w="2553" w:type="dxa"/>
            <w:vMerge/>
            <w:vAlign w:val="center"/>
            <w:hideMark/>
          </w:tcPr>
          <w:p w:rsidR="001B7D95" w:rsidRPr="00DB6D87" w:rsidRDefault="001B7D95">
            <w:pPr>
              <w:rPr>
                <w:rFonts w:ascii="Liberation Serif" w:hAnsi="Liberation Serif" w:cs="Liberation Serif"/>
                <w:b/>
                <w:bCs/>
                <w:sz w:val="20"/>
                <w:szCs w:val="20"/>
              </w:rPr>
            </w:pPr>
          </w:p>
        </w:tc>
        <w:tc>
          <w:tcPr>
            <w:tcW w:w="1598"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всего</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2024</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2025</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2026</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2027</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2028</w:t>
            </w:r>
          </w:p>
        </w:tc>
        <w:tc>
          <w:tcPr>
            <w:tcW w:w="2033" w:type="dxa"/>
            <w:vMerge/>
            <w:vAlign w:val="center"/>
            <w:hideMark/>
          </w:tcPr>
          <w:p w:rsidR="001B7D95" w:rsidRPr="00DB6D87" w:rsidRDefault="001B7D95">
            <w:pPr>
              <w:rPr>
                <w:rFonts w:ascii="Liberation Serif" w:hAnsi="Liberation Serif" w:cs="Liberation Serif"/>
                <w:b/>
                <w:bCs/>
                <w:sz w:val="20"/>
                <w:szCs w:val="20"/>
              </w:rPr>
            </w:pPr>
          </w:p>
        </w:tc>
      </w:tr>
    </w:tbl>
    <w:p w:rsidR="001B7D95" w:rsidRPr="00DB6D87" w:rsidRDefault="001B7D95">
      <w:pPr>
        <w:rPr>
          <w:rFonts w:ascii="Liberation Serif" w:hAnsi="Liberation Serif" w:cs="Liberation Serif"/>
        </w:rPr>
      </w:pPr>
    </w:p>
    <w:tbl>
      <w:tblPr>
        <w:tblW w:w="14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98"/>
        <w:gridCol w:w="2553"/>
        <w:gridCol w:w="1598"/>
        <w:gridCol w:w="1597"/>
        <w:gridCol w:w="1597"/>
        <w:gridCol w:w="1597"/>
        <w:gridCol w:w="1597"/>
        <w:gridCol w:w="1597"/>
        <w:gridCol w:w="2033"/>
      </w:tblGrid>
      <w:tr w:rsidR="001B7D95" w:rsidRPr="00DB6D87" w:rsidTr="001B7D95">
        <w:trPr>
          <w:cantSplit/>
          <w:trHeight w:val="255"/>
          <w:tblHeader/>
        </w:trPr>
        <w:tc>
          <w:tcPr>
            <w:tcW w:w="798"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1</w:t>
            </w:r>
          </w:p>
        </w:tc>
        <w:tc>
          <w:tcPr>
            <w:tcW w:w="2553"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2</w:t>
            </w:r>
          </w:p>
        </w:tc>
        <w:tc>
          <w:tcPr>
            <w:tcW w:w="1598"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3</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4</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5</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6</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7</w:t>
            </w:r>
          </w:p>
        </w:tc>
        <w:tc>
          <w:tcPr>
            <w:tcW w:w="1597"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8</w:t>
            </w:r>
          </w:p>
        </w:tc>
        <w:tc>
          <w:tcPr>
            <w:tcW w:w="2033" w:type="dxa"/>
            <w:shd w:val="clear" w:color="auto" w:fill="auto"/>
            <w:hideMark/>
          </w:tcPr>
          <w:p w:rsidR="001B7D95" w:rsidRPr="00DB6D87" w:rsidRDefault="001B7D95">
            <w:pPr>
              <w:jc w:val="center"/>
              <w:rPr>
                <w:rFonts w:ascii="Liberation Serif" w:hAnsi="Liberation Serif" w:cs="Liberation Serif"/>
                <w:b/>
                <w:bCs/>
                <w:sz w:val="20"/>
                <w:szCs w:val="20"/>
              </w:rPr>
            </w:pPr>
            <w:r w:rsidRPr="00DB6D87">
              <w:rPr>
                <w:rFonts w:ascii="Liberation Serif" w:hAnsi="Liberation Serif" w:cs="Liberation Serif"/>
                <w:b/>
                <w:bCs/>
                <w:sz w:val="20"/>
                <w:szCs w:val="20"/>
              </w:rPr>
              <w:t>9</w:t>
            </w:r>
          </w:p>
        </w:tc>
      </w:tr>
      <w:tr w:rsidR="001B7D95" w:rsidRPr="00DB6D87" w:rsidTr="001B7D95">
        <w:trPr>
          <w:cantSplit/>
          <w:trHeight w:val="1020"/>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1.1</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ВСЕГО ПО МУНИЦИПАЛЬНОЙ ПРОГРАММЕ, В ТОМ ЧИСЛЕ:</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328 123,90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68 705,10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65 329,70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65 329,70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1.2</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федеральный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63 075,60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12 609,60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1.3</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областной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257 098,30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50 045,50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1.4</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местный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7 950,00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6 050,00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950,00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950,00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273"/>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1.5</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внебюджетные источники</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1.6</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Прочие нужды</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328 123,90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68 705,10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65 329,70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65 329,70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1.7</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федеральный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63 075,60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12 609,60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1.8</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областной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257 098,30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50 045,50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1.9</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местный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7 950,00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6 050,00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950,00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950,00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194"/>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1.10</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внебюджетные источники</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w:t>
            </w:r>
          </w:p>
        </w:tc>
        <w:tc>
          <w:tcPr>
            <w:tcW w:w="12136" w:type="dxa"/>
            <w:gridSpan w:val="7"/>
            <w:shd w:val="clear" w:color="000000" w:fill="FFFFFF"/>
            <w:vAlign w:val="center"/>
            <w:hideMark/>
          </w:tcPr>
          <w:p w:rsidR="001B7D95" w:rsidRPr="00DB6D87" w:rsidRDefault="001B7D95">
            <w:pPr>
              <w:jc w:val="cente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ПОДПРОГРАММА  1. «ДОСТУПНАЯ СРЕДА ДЛЯ ИНВАЛИДОВ И МАЛОМОБИЛЬНЫХ ГРУПП НАСЕЛЕНИЯ»</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1B7D95">
        <w:trPr>
          <w:cantSplit/>
          <w:trHeight w:val="1785"/>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2.1</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ВСЕГО ПО ПОДПРОГРАММЕ, В ТОМ ЧИСЛЕ: «ДОСТУПНАЯ СРЕДА ДЛЯ ИНВАЛИДОВ И МАЛОМОБИЛЬНЫХ ГРУПП НАСЕЛЕНИЯ»</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1 200,00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2.2</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федеральный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lastRenderedPageBreak/>
              <w:t>2.3</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областной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2.4</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местный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1 200,00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199"/>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2.5</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внебюджетные источники</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2.6</w:t>
            </w:r>
          </w:p>
        </w:tc>
        <w:tc>
          <w:tcPr>
            <w:tcW w:w="12136" w:type="dxa"/>
            <w:gridSpan w:val="7"/>
            <w:shd w:val="clear" w:color="000000" w:fill="FFFFFF"/>
            <w:vAlign w:val="center"/>
            <w:hideMark/>
          </w:tcPr>
          <w:p w:rsidR="001B7D95" w:rsidRPr="00DB6D87" w:rsidRDefault="001B7D95">
            <w:pPr>
              <w:jc w:val="cente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«Прочие нужды»</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CF54C2">
        <w:trPr>
          <w:cantSplit/>
          <w:trHeight w:val="801"/>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2.7</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Всего по направлению «Прочие нужды», в том числе:</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1 200,00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2.8</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федеральный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2.9</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областной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2.10</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местный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1 200,00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186"/>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2.11</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внебюджетные источники</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1918"/>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2.12</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Мероприятие 1.1. Проведение организационных мероприятий (паспортизация объектов, организация работ</w:t>
            </w:r>
            <w:r w:rsidR="00CF54C2">
              <w:rPr>
                <w:rFonts w:ascii="Liberation Serif" w:hAnsi="Liberation Serif" w:cs="Liberation Serif"/>
                <w:b/>
                <w:bCs/>
                <w:color w:val="000000"/>
                <w:sz w:val="20"/>
                <w:szCs w:val="20"/>
              </w:rPr>
              <w:t>ы муниципальной комиссии и др.)</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1.1.1., 1.1.2., 1.1.3.</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2.13</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2.14</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2.15</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187"/>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2.16</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1482"/>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2.17</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Мероприятие 1.2. Обеспечение физической и информационной доступности зданий с </w:t>
            </w:r>
            <w:r w:rsidR="00CF54C2">
              <w:rPr>
                <w:rFonts w:ascii="Liberation Serif" w:hAnsi="Liberation Serif" w:cs="Liberation Serif"/>
                <w:b/>
                <w:bCs/>
                <w:color w:val="000000"/>
                <w:sz w:val="20"/>
                <w:szCs w:val="20"/>
              </w:rPr>
              <w:t>учетом потребностей инвалидов</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1 200,00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400,00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1.1.2., 1.2.1.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2.18</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2.19</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2.20</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1 200,00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400,00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400,00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400,00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0,00</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510"/>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2.21</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1283"/>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lastRenderedPageBreak/>
              <w:t>2.22</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Мероприятие 1.3. Проведение информационной кампании по пропаганде идеи доступной среды</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1.1.2., 1.1.3.</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2.23</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2.24</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2.25</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192"/>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2.26</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w:t>
            </w:r>
          </w:p>
        </w:tc>
        <w:tc>
          <w:tcPr>
            <w:tcW w:w="12136" w:type="dxa"/>
            <w:gridSpan w:val="7"/>
            <w:shd w:val="clear" w:color="000000" w:fill="FFFFFF"/>
            <w:vAlign w:val="center"/>
            <w:hideMark/>
          </w:tcPr>
          <w:p w:rsidR="001B7D95" w:rsidRPr="00DB6D87" w:rsidRDefault="001B7D95">
            <w:pPr>
              <w:jc w:val="cente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ПОДПРОГРАММА  2. «ПОДДЕРЖКА ДЕЯТЕЛЬНОСТИ ОБЩЕСТВЕННЫХ ОБЪЕДИНЕНИЙ, ДЕЙСТВУЮЩИХ НА ТЕРРИТОРИИ АРАМИЛЬСКОГО ГОРОДСКОГО ОКРУГА, И ОТДЕЛЬНЫХ КАТЕГОРИЙ ГРАЖДАН»</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CF54C2">
        <w:trPr>
          <w:cantSplit/>
          <w:trHeight w:val="3264"/>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3.1</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ВСЕГО ПО ПОДПРОГРАММЕ, В ТОМ ЧИСЛЕ: «ПОДДЕРЖКА ДЕЯТЕЛЬНОСТИ ОБЩЕСТВЕННЫХ ОБЪЕДИНЕНИЙ, ДЕЙСТВУЮЩИХ НА ТЕРРИТОРИИ АРАМИЛЬСКОГО ГОРОДСКОГО ОКРУГА, И ОТДЕЛЬНЫХ КАТЕГОРИЙ ГРАЖДАН»</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6 750,00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5 650,00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3.2</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федеральный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3.3</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областной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3.4</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местный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6 750,00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5 650,00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189"/>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3.5</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внебюджетные источники</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3.6</w:t>
            </w:r>
          </w:p>
        </w:tc>
        <w:tc>
          <w:tcPr>
            <w:tcW w:w="12136" w:type="dxa"/>
            <w:gridSpan w:val="7"/>
            <w:shd w:val="clear" w:color="000000" w:fill="FFFFFF"/>
            <w:vAlign w:val="center"/>
            <w:hideMark/>
          </w:tcPr>
          <w:p w:rsidR="001B7D95" w:rsidRPr="00DB6D87" w:rsidRDefault="001B7D95">
            <w:pPr>
              <w:jc w:val="cente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«Прочие нужды»</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CF54C2">
        <w:trPr>
          <w:cantSplit/>
          <w:trHeight w:val="793"/>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3.7</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Всего по направлению «Прочие нужды», в том числе:</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6 750,00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5 650,00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3.8</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федеральный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3.9</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областной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3.10</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местный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6 750,00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5 650,00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510"/>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3.11</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внебюджетные источники</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1283"/>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lastRenderedPageBreak/>
              <w:t>3.12</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Мероприятие 2.1. Поддержка деятельности общественных объединений (организаций)</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1 650,00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550,00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2.1.1., 2.2.1.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3.13</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3.14</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1 650,00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550,00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550,00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550,00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0,00</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173"/>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3.15</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1184"/>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3.16</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Мероприятие 2.2. Социальное обеспечение и материальная поддержка отдельных категорий граждан </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5 100,00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5 100,00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0,00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2.4.1.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3.17</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3.18</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3.19</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5 100,00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5 100,00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0,00</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277"/>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3.20</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2408"/>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3.21</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Мероприятие 2.3. Полное освобождение от уплаты налога на имущество членов многодетных семей; детей-сирот и детей, оставшихся без попечения </w:t>
            </w:r>
            <w:r w:rsidR="00CF54C2">
              <w:rPr>
                <w:rFonts w:ascii="Liberation Serif" w:hAnsi="Liberation Serif" w:cs="Liberation Serif"/>
                <w:b/>
                <w:bCs/>
                <w:color w:val="000000"/>
                <w:sz w:val="20"/>
                <w:szCs w:val="20"/>
              </w:rPr>
              <w:t>родителей; лиц, имеющих звание «</w:t>
            </w:r>
            <w:r w:rsidRPr="00DB6D87">
              <w:rPr>
                <w:rFonts w:ascii="Liberation Serif" w:hAnsi="Liberation Serif" w:cs="Liberation Serif"/>
                <w:b/>
                <w:bCs/>
                <w:color w:val="000000"/>
                <w:sz w:val="20"/>
                <w:szCs w:val="20"/>
              </w:rPr>
              <w:t>Почетный гражданин</w:t>
            </w:r>
            <w:r w:rsidR="00CF54C2">
              <w:rPr>
                <w:rFonts w:ascii="Liberation Serif" w:hAnsi="Liberation Serif" w:cs="Liberation Serif"/>
                <w:b/>
                <w:bCs/>
                <w:color w:val="000000"/>
                <w:sz w:val="20"/>
                <w:szCs w:val="20"/>
              </w:rPr>
              <w:t xml:space="preserve"> </w:t>
            </w:r>
            <w:proofErr w:type="spellStart"/>
            <w:r w:rsidR="00CF54C2">
              <w:rPr>
                <w:rFonts w:ascii="Liberation Serif" w:hAnsi="Liberation Serif" w:cs="Liberation Serif"/>
                <w:b/>
                <w:bCs/>
                <w:color w:val="000000"/>
                <w:sz w:val="20"/>
                <w:szCs w:val="20"/>
              </w:rPr>
              <w:t>Арамильского</w:t>
            </w:r>
            <w:proofErr w:type="spellEnd"/>
            <w:r w:rsidR="00CF54C2">
              <w:rPr>
                <w:rFonts w:ascii="Liberation Serif" w:hAnsi="Liberation Serif" w:cs="Liberation Serif"/>
                <w:b/>
                <w:bCs/>
                <w:color w:val="000000"/>
                <w:sz w:val="20"/>
                <w:szCs w:val="20"/>
              </w:rPr>
              <w:t xml:space="preserve"> городского округа»</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2.4.1.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3.22</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3.23</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3.24</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510"/>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3.25</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5677"/>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lastRenderedPageBreak/>
              <w:t>3.26</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Мероприятие 2.4. Полное освобождение от уплаты земельного налога налогоплательщиков, имеющих постоянное место жительства (регистрацию) на территории </w:t>
            </w:r>
            <w:proofErr w:type="spellStart"/>
            <w:r w:rsidRPr="00DB6D87">
              <w:rPr>
                <w:rFonts w:ascii="Liberation Serif" w:hAnsi="Liberation Serif" w:cs="Liberation Serif"/>
                <w:b/>
                <w:bCs/>
                <w:color w:val="000000"/>
                <w:sz w:val="20"/>
                <w:szCs w:val="20"/>
              </w:rPr>
              <w:t>Арамильского</w:t>
            </w:r>
            <w:proofErr w:type="spellEnd"/>
            <w:r w:rsidRPr="00DB6D87">
              <w:rPr>
                <w:rFonts w:ascii="Liberation Serif" w:hAnsi="Liberation Serif" w:cs="Liberation Serif"/>
                <w:b/>
                <w:bCs/>
                <w:color w:val="000000"/>
                <w:sz w:val="20"/>
                <w:szCs w:val="20"/>
              </w:rPr>
              <w:t xml:space="preserve"> городского округа за один земельный участок, приобретенный (предоставленный): для личного подсобного хозяйства, садоводства, огородничества; для индивидуального жилищного строительства, в соответствии с п. 6 Решения Думы </w:t>
            </w:r>
            <w:proofErr w:type="spellStart"/>
            <w:r w:rsidRPr="00DB6D87">
              <w:rPr>
                <w:rFonts w:ascii="Liberation Serif" w:hAnsi="Liberation Serif" w:cs="Liberation Serif"/>
                <w:b/>
                <w:bCs/>
                <w:color w:val="000000"/>
                <w:sz w:val="20"/>
                <w:szCs w:val="20"/>
              </w:rPr>
              <w:t>Арамильского</w:t>
            </w:r>
            <w:proofErr w:type="spellEnd"/>
            <w:r w:rsidRPr="00DB6D87">
              <w:rPr>
                <w:rFonts w:ascii="Liberation Serif" w:hAnsi="Liberation Serif" w:cs="Liberation Serif"/>
                <w:b/>
                <w:bCs/>
                <w:color w:val="000000"/>
                <w:sz w:val="20"/>
                <w:szCs w:val="20"/>
              </w:rPr>
              <w:t xml:space="preserve"> городского округа о</w:t>
            </w:r>
            <w:r w:rsidR="00CF54C2">
              <w:rPr>
                <w:rFonts w:ascii="Liberation Serif" w:hAnsi="Liberation Serif" w:cs="Liberation Serif"/>
                <w:b/>
                <w:bCs/>
                <w:color w:val="000000"/>
                <w:sz w:val="20"/>
                <w:szCs w:val="20"/>
              </w:rPr>
              <w:t>т 11 октября 2018 года № 43/2</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2.4.1.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3.27</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3.28</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3.29</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311"/>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3.30</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4</w:t>
            </w:r>
          </w:p>
        </w:tc>
        <w:tc>
          <w:tcPr>
            <w:tcW w:w="12136" w:type="dxa"/>
            <w:gridSpan w:val="7"/>
            <w:shd w:val="clear" w:color="000000" w:fill="FFFFFF"/>
            <w:vAlign w:val="center"/>
            <w:hideMark/>
          </w:tcPr>
          <w:p w:rsidR="001B7D95" w:rsidRPr="00DB6D87" w:rsidRDefault="001B7D95">
            <w:pPr>
              <w:jc w:val="cente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ПОДПРОГРАММА  3. «СОЦИАЛЬНАЯ ПОДДЕРЖКА НАСЕЛЕНИЯ В ФОРМЕ СУБСИДИЙ И КОМПЕНСАЦИЙ НА ОПЛАТУ ЖИЛОГО ПОМЕЩЕНИЯ И КОММУНАЛЬНЫХ УСЛУГ»</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CF54C2">
        <w:trPr>
          <w:cantSplit/>
          <w:trHeight w:val="2984"/>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lastRenderedPageBreak/>
              <w:t>4.1</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ВСЕГО ПО ПОДПРОГРАММЕ, В ТОМ ЧИСЛЕ: «СОЦИАЛЬНАЯ ПОДДЕРЖКА НАСЕЛЕНИЯ В ФОРМЕ СУБСИДИЙ И КОМПЕНСАЦИЙ НА ОПЛАТУ ЖИЛОГО ПОМЕЩЕНИЯ И КОММУНАЛЬНЫХ УСЛУГ»</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320 173,90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62 655,10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4.2</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федеральный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63 075,60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12 609,60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4.3</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областной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257 098,30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50 045,50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4.4</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местный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188"/>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4.5</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внебюджетные источники</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4.6</w:t>
            </w:r>
          </w:p>
        </w:tc>
        <w:tc>
          <w:tcPr>
            <w:tcW w:w="12136" w:type="dxa"/>
            <w:gridSpan w:val="7"/>
            <w:shd w:val="clear" w:color="000000" w:fill="FFFFFF"/>
            <w:vAlign w:val="center"/>
            <w:hideMark/>
          </w:tcPr>
          <w:p w:rsidR="001B7D95" w:rsidRPr="00DB6D87" w:rsidRDefault="001B7D95">
            <w:pPr>
              <w:jc w:val="cente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«Прочие нужды»</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CF54C2">
        <w:trPr>
          <w:cantSplit/>
          <w:trHeight w:val="663"/>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4.7</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Всего по направлению «Прочие нужды», в том числе:</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320 173,90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62 655,10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64 379,70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4.8</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федеральный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63 075,60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12 609,60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12 616,50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4.9</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областной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257 098,30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50 045,50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xml:space="preserve"> 51 763,20</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1B7D95">
        <w:trPr>
          <w:cantSplit/>
          <w:trHeight w:val="25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4.10</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местный бюджет</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245"/>
        </w:trPr>
        <w:tc>
          <w:tcPr>
            <w:tcW w:w="798"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4.11</w:t>
            </w:r>
          </w:p>
        </w:tc>
        <w:tc>
          <w:tcPr>
            <w:tcW w:w="255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внебюджетные источники</w:t>
            </w:r>
          </w:p>
        </w:tc>
        <w:tc>
          <w:tcPr>
            <w:tcW w:w="1598"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1597" w:type="dxa"/>
            <w:shd w:val="clear" w:color="000000" w:fill="FFFFFF"/>
            <w:hideMark/>
          </w:tcPr>
          <w:p w:rsidR="001B7D95" w:rsidRPr="00DB6D87" w:rsidRDefault="001B7D95">
            <w:pPr>
              <w:jc w:val="right"/>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w:t>
            </w:r>
          </w:p>
        </w:tc>
        <w:tc>
          <w:tcPr>
            <w:tcW w:w="2033" w:type="dxa"/>
            <w:shd w:val="clear" w:color="000000" w:fill="FFFFFF"/>
            <w:hideMark/>
          </w:tcPr>
          <w:p w:rsidR="001B7D95" w:rsidRPr="00DB6D87" w:rsidRDefault="001B7D95">
            <w:pPr>
              <w:rPr>
                <w:rFonts w:ascii="Liberation Serif" w:hAnsi="Liberation Serif" w:cs="Liberation Serif"/>
                <w:color w:val="000000"/>
                <w:sz w:val="20"/>
                <w:szCs w:val="20"/>
              </w:rPr>
            </w:pPr>
            <w:r w:rsidRPr="00DB6D87">
              <w:rPr>
                <w:rFonts w:ascii="Liberation Serif" w:hAnsi="Liberation Serif" w:cs="Liberation Serif"/>
                <w:color w:val="000000"/>
                <w:sz w:val="20"/>
                <w:szCs w:val="20"/>
              </w:rPr>
              <w:t> </w:t>
            </w:r>
          </w:p>
        </w:tc>
      </w:tr>
      <w:tr w:rsidR="001B7D95" w:rsidRPr="00DB6D87" w:rsidTr="00CF54C2">
        <w:trPr>
          <w:cantSplit/>
          <w:trHeight w:val="2404"/>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4.12</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Мероприятие 3.1. 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62 524,00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12 505,20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12 504,70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12 504,70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12 504,70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12 504,70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3.1.1., 3.2.1.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4.13</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62 524,00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12 505,20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12 504,70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12 504,70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12 504,70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12 504,70</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4.14</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4.15</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510"/>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4.16</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3267"/>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lastRenderedPageBreak/>
              <w:t>4.17</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Мероприятие 3.2. 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162 681,40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31 527,40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32 788,50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32 788,50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32 788,50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32 788,50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3.1.1., 3.2.1.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4.18</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4.19</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162 681,40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31 527,40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32 788,50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32 788,50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32 788,50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32 788,50</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4.20</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20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4.21</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2762"/>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4.22</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Мероприятие 3.3. 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 </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58 896,90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11 414,10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11 870,70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11 870,70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11 870,70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11 870,70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3.1.1., 3.2.1.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4.23</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4.24</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58 896,90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11 414,10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11 870,70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11 870,70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11 870,70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11 870,70</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4.25</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510"/>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4.26</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4260"/>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lastRenderedPageBreak/>
              <w:t>4.27</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Мероприятие 3.4. 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551,60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104,40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111,80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111,80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111,80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111,80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3.1.1., 3.2.1.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4.28</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551,60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104,40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111,80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111,80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111,80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111,80</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4.29</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4.30</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192"/>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4.31</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w:t>
            </w:r>
            <w:bookmarkStart w:id="0" w:name="_GoBack"/>
            <w:bookmarkEnd w:id="0"/>
            <w:r w:rsidRPr="00DB6D87">
              <w:rPr>
                <w:rFonts w:ascii="Liberation Serif" w:hAnsi="Liberation Serif" w:cs="Liberation Serif"/>
                <w:sz w:val="20"/>
                <w:szCs w:val="20"/>
              </w:rPr>
              <w:t>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CF54C2">
        <w:trPr>
          <w:cantSplit/>
          <w:trHeight w:val="3551"/>
        </w:trPr>
        <w:tc>
          <w:tcPr>
            <w:tcW w:w="798"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4.32</w:t>
            </w:r>
          </w:p>
        </w:tc>
        <w:tc>
          <w:tcPr>
            <w:tcW w:w="255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Мероприятие 3.5. Предоставление субвенций местным бюджетам на осуществление государственного полномочия  Свердловской области по предоставлению гражданам, проживающим на территории Свердловской области, меры социальной поддержки по частичному освобождению от платы за коммунальные услуги</w:t>
            </w:r>
          </w:p>
        </w:tc>
        <w:tc>
          <w:tcPr>
            <w:tcW w:w="1598"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35 520,00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7 104,00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7 104,00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7 104,00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7 104,00</w:t>
            </w:r>
          </w:p>
        </w:tc>
        <w:tc>
          <w:tcPr>
            <w:tcW w:w="1597" w:type="dxa"/>
            <w:shd w:val="clear" w:color="000000" w:fill="FFFFFF"/>
            <w:hideMark/>
          </w:tcPr>
          <w:p w:rsidR="001B7D95" w:rsidRPr="00DB6D87" w:rsidRDefault="001B7D95">
            <w:pPr>
              <w:jc w:val="right"/>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 xml:space="preserve"> 7 104,00</w:t>
            </w:r>
          </w:p>
        </w:tc>
        <w:tc>
          <w:tcPr>
            <w:tcW w:w="2033" w:type="dxa"/>
            <w:shd w:val="clear" w:color="000000" w:fill="FFFFFF"/>
            <w:hideMark/>
          </w:tcPr>
          <w:p w:rsidR="001B7D95" w:rsidRPr="00DB6D87" w:rsidRDefault="001B7D95">
            <w:pPr>
              <w:rPr>
                <w:rFonts w:ascii="Liberation Serif" w:hAnsi="Liberation Serif" w:cs="Liberation Serif"/>
                <w:b/>
                <w:bCs/>
                <w:color w:val="000000"/>
                <w:sz w:val="20"/>
                <w:szCs w:val="20"/>
              </w:rPr>
            </w:pPr>
            <w:r w:rsidRPr="00DB6D87">
              <w:rPr>
                <w:rFonts w:ascii="Liberation Serif" w:hAnsi="Liberation Serif" w:cs="Liberation Serif"/>
                <w:b/>
                <w:bCs/>
                <w:color w:val="000000"/>
                <w:sz w:val="20"/>
                <w:szCs w:val="20"/>
              </w:rPr>
              <w:t>3.1.1., 3.2.1.</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4.33</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федеральный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4.34</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областной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35 520,00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7 104,00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7 104,00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7 104,00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7 104,00</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 xml:space="preserve"> 7 104,00</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255"/>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4.35</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местный бюджет</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r w:rsidR="001B7D95" w:rsidRPr="00DB6D87" w:rsidTr="001B7D95">
        <w:trPr>
          <w:cantSplit/>
          <w:trHeight w:val="510"/>
        </w:trPr>
        <w:tc>
          <w:tcPr>
            <w:tcW w:w="798"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lastRenderedPageBreak/>
              <w:t>4.36</w:t>
            </w:r>
          </w:p>
        </w:tc>
        <w:tc>
          <w:tcPr>
            <w:tcW w:w="255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внебюджетные источники</w:t>
            </w:r>
          </w:p>
        </w:tc>
        <w:tc>
          <w:tcPr>
            <w:tcW w:w="1598"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1597" w:type="dxa"/>
            <w:shd w:val="clear" w:color="auto" w:fill="auto"/>
            <w:hideMark/>
          </w:tcPr>
          <w:p w:rsidR="001B7D95" w:rsidRPr="00DB6D87" w:rsidRDefault="001B7D95">
            <w:pPr>
              <w:jc w:val="right"/>
              <w:rPr>
                <w:rFonts w:ascii="Liberation Serif" w:hAnsi="Liberation Serif" w:cs="Liberation Serif"/>
                <w:sz w:val="20"/>
                <w:szCs w:val="20"/>
              </w:rPr>
            </w:pPr>
            <w:r w:rsidRPr="00DB6D87">
              <w:rPr>
                <w:rFonts w:ascii="Liberation Serif" w:hAnsi="Liberation Serif" w:cs="Liberation Serif"/>
                <w:sz w:val="20"/>
                <w:szCs w:val="20"/>
              </w:rPr>
              <w:t>-</w:t>
            </w:r>
          </w:p>
        </w:tc>
        <w:tc>
          <w:tcPr>
            <w:tcW w:w="2033" w:type="dxa"/>
            <w:shd w:val="clear" w:color="auto" w:fill="auto"/>
            <w:hideMark/>
          </w:tcPr>
          <w:p w:rsidR="001B7D95" w:rsidRPr="00DB6D87" w:rsidRDefault="001B7D95">
            <w:pPr>
              <w:rPr>
                <w:rFonts w:ascii="Liberation Serif" w:hAnsi="Liberation Serif" w:cs="Liberation Serif"/>
                <w:sz w:val="20"/>
                <w:szCs w:val="20"/>
              </w:rPr>
            </w:pPr>
            <w:r w:rsidRPr="00DB6D87">
              <w:rPr>
                <w:rFonts w:ascii="Liberation Serif" w:hAnsi="Liberation Serif" w:cs="Liberation Serif"/>
                <w:sz w:val="20"/>
                <w:szCs w:val="20"/>
              </w:rPr>
              <w:t> </w:t>
            </w:r>
          </w:p>
        </w:tc>
      </w:tr>
    </w:tbl>
    <w:p w:rsidR="001B7D95" w:rsidRPr="00DB6D87" w:rsidRDefault="001B7D95" w:rsidP="001B7D95">
      <w:pPr>
        <w:spacing w:after="0" w:line="240" w:lineRule="auto"/>
        <w:rPr>
          <w:rFonts w:ascii="Liberation Serif" w:hAnsi="Liberation Serif" w:cs="Liberation Serif"/>
        </w:rPr>
      </w:pPr>
    </w:p>
    <w:sectPr w:rsidR="001B7D95" w:rsidRPr="00DB6D87" w:rsidSect="001B7D95">
      <w:pgSz w:w="16838" w:h="11906" w:orient="landscape"/>
      <w:pgMar w:top="1134"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D95"/>
    <w:rsid w:val="001B7D95"/>
    <w:rsid w:val="00365A2A"/>
    <w:rsid w:val="00671F63"/>
    <w:rsid w:val="00CF54C2"/>
    <w:rsid w:val="00DB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CE0B3"/>
  <w15:chartTrackingRefBased/>
  <w15:docId w15:val="{2065A20C-5CAA-437F-8635-DDB2C6FD3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contextualSpacing/>
    </w:pPr>
    <w:rPr>
      <w:rFonts w:ascii="Times New Roman" w:hAnsi="Times New Roman" w:cs="Times New Roman"/>
      <w:sz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B7D95"/>
    <w:rPr>
      <w:color w:val="0563C1"/>
      <w:u w:val="single"/>
    </w:rPr>
  </w:style>
  <w:style w:type="character" w:styleId="a4">
    <w:name w:val="FollowedHyperlink"/>
    <w:basedOn w:val="a0"/>
    <w:uiPriority w:val="99"/>
    <w:semiHidden/>
    <w:unhideWhenUsed/>
    <w:rsid w:val="001B7D95"/>
    <w:rPr>
      <w:color w:val="954F72"/>
      <w:u w:val="single"/>
    </w:rPr>
  </w:style>
  <w:style w:type="paragraph" w:customStyle="1" w:styleId="msonormal0">
    <w:name w:val="msonormal"/>
    <w:basedOn w:val="a"/>
    <w:rsid w:val="001B7D95"/>
    <w:pPr>
      <w:spacing w:before="100" w:beforeAutospacing="1" w:after="100" w:afterAutospacing="1" w:line="240" w:lineRule="auto"/>
      <w:contextualSpacing w:val="0"/>
    </w:pPr>
    <w:rPr>
      <w:rFonts w:eastAsia="Times New Roman"/>
      <w:sz w:val="24"/>
      <w:szCs w:val="24"/>
      <w:lang w:eastAsia="ru-RU"/>
    </w:rPr>
  </w:style>
  <w:style w:type="paragraph" w:customStyle="1" w:styleId="xl66">
    <w:name w:val="xl66"/>
    <w:basedOn w:val="a"/>
    <w:rsid w:val="001B7D95"/>
    <w:pPr>
      <w:pBdr>
        <w:left w:val="single" w:sz="4" w:space="0" w:color="auto"/>
        <w:bottom w:val="single" w:sz="4" w:space="0" w:color="auto"/>
        <w:right w:val="single" w:sz="4" w:space="0" w:color="auto"/>
      </w:pBdr>
      <w:spacing w:before="100" w:beforeAutospacing="1" w:after="100" w:afterAutospacing="1" w:line="240" w:lineRule="auto"/>
      <w:contextualSpacing w:val="0"/>
      <w:jc w:val="center"/>
      <w:textAlignment w:val="top"/>
    </w:pPr>
    <w:rPr>
      <w:rFonts w:ascii="Arial" w:eastAsia="Times New Roman" w:hAnsi="Arial" w:cs="Arial"/>
      <w:b/>
      <w:bCs/>
      <w:sz w:val="24"/>
      <w:szCs w:val="24"/>
      <w:lang w:eastAsia="ru-RU"/>
    </w:rPr>
  </w:style>
  <w:style w:type="paragraph" w:customStyle="1" w:styleId="xl67">
    <w:name w:val="xl67"/>
    <w:basedOn w:val="a"/>
    <w:rsid w:val="001B7D95"/>
    <w:pPr>
      <w:pBdr>
        <w:left w:val="single" w:sz="4" w:space="0" w:color="auto"/>
        <w:bottom w:val="single" w:sz="4" w:space="0" w:color="auto"/>
        <w:right w:val="single" w:sz="4" w:space="0" w:color="auto"/>
      </w:pBdr>
      <w:spacing w:before="100" w:beforeAutospacing="1" w:after="100" w:afterAutospacing="1" w:line="240" w:lineRule="auto"/>
      <w:contextualSpacing w:val="0"/>
      <w:jc w:val="center"/>
      <w:textAlignment w:val="top"/>
    </w:pPr>
    <w:rPr>
      <w:rFonts w:ascii="Arial" w:eastAsia="Times New Roman" w:hAnsi="Arial" w:cs="Arial"/>
      <w:b/>
      <w:bCs/>
      <w:sz w:val="24"/>
      <w:szCs w:val="24"/>
      <w:lang w:eastAsia="ru-RU"/>
    </w:rPr>
  </w:style>
  <w:style w:type="paragraph" w:customStyle="1" w:styleId="xl68">
    <w:name w:val="xl68"/>
    <w:basedOn w:val="a"/>
    <w:rsid w:val="001B7D95"/>
    <w:pPr>
      <w:pBdr>
        <w:top w:val="single" w:sz="4" w:space="0" w:color="auto"/>
        <w:left w:val="single" w:sz="4" w:space="0" w:color="auto"/>
        <w:bottom w:val="single" w:sz="4" w:space="0" w:color="auto"/>
        <w:right w:val="single" w:sz="4" w:space="0" w:color="auto"/>
      </w:pBdr>
      <w:spacing w:before="100" w:beforeAutospacing="1" w:after="100" w:afterAutospacing="1" w:line="240" w:lineRule="auto"/>
      <w:contextualSpacing w:val="0"/>
      <w:jc w:val="center"/>
      <w:textAlignment w:val="top"/>
    </w:pPr>
    <w:rPr>
      <w:rFonts w:ascii="Arial" w:eastAsia="Times New Roman" w:hAnsi="Arial" w:cs="Arial"/>
      <w:b/>
      <w:bCs/>
      <w:sz w:val="24"/>
      <w:szCs w:val="24"/>
      <w:lang w:eastAsia="ru-RU"/>
    </w:rPr>
  </w:style>
  <w:style w:type="paragraph" w:customStyle="1" w:styleId="xl69">
    <w:name w:val="xl69"/>
    <w:basedOn w:val="a"/>
    <w:rsid w:val="001B7D95"/>
    <w:pPr>
      <w:pBdr>
        <w:left w:val="single" w:sz="4" w:space="0" w:color="auto"/>
        <w:bottom w:val="single" w:sz="4" w:space="0" w:color="auto"/>
        <w:right w:val="single" w:sz="4" w:space="0" w:color="auto"/>
      </w:pBdr>
      <w:spacing w:before="100" w:beforeAutospacing="1" w:after="100" w:afterAutospacing="1" w:line="240" w:lineRule="auto"/>
      <w:contextualSpacing w:val="0"/>
      <w:textAlignment w:val="top"/>
    </w:pPr>
    <w:rPr>
      <w:rFonts w:eastAsia="Times New Roman"/>
      <w:sz w:val="24"/>
      <w:szCs w:val="24"/>
      <w:lang w:eastAsia="ru-RU"/>
    </w:rPr>
  </w:style>
  <w:style w:type="paragraph" w:customStyle="1" w:styleId="xl70">
    <w:name w:val="xl70"/>
    <w:basedOn w:val="a"/>
    <w:rsid w:val="001B7D95"/>
    <w:pPr>
      <w:pBdr>
        <w:top w:val="single" w:sz="4" w:space="0" w:color="auto"/>
        <w:left w:val="single" w:sz="4" w:space="0" w:color="auto"/>
        <w:bottom w:val="single" w:sz="4" w:space="0" w:color="auto"/>
        <w:right w:val="single" w:sz="4" w:space="0" w:color="auto"/>
      </w:pBdr>
      <w:spacing w:before="100" w:beforeAutospacing="1" w:after="100" w:afterAutospacing="1" w:line="240" w:lineRule="auto"/>
      <w:contextualSpacing w:val="0"/>
      <w:textAlignment w:val="top"/>
    </w:pPr>
    <w:rPr>
      <w:rFonts w:eastAsia="Times New Roman"/>
      <w:sz w:val="24"/>
      <w:szCs w:val="24"/>
      <w:lang w:eastAsia="ru-RU"/>
    </w:rPr>
  </w:style>
  <w:style w:type="paragraph" w:customStyle="1" w:styleId="xl71">
    <w:name w:val="xl71"/>
    <w:basedOn w:val="a"/>
    <w:rsid w:val="001B7D95"/>
    <w:pPr>
      <w:pBdr>
        <w:left w:val="single" w:sz="4" w:space="0" w:color="auto"/>
        <w:bottom w:val="single" w:sz="4" w:space="0" w:color="auto"/>
        <w:right w:val="single" w:sz="4" w:space="0" w:color="auto"/>
      </w:pBdr>
      <w:spacing w:before="100" w:beforeAutospacing="1" w:after="100" w:afterAutospacing="1" w:line="240" w:lineRule="auto"/>
      <w:contextualSpacing w:val="0"/>
      <w:textAlignment w:val="top"/>
    </w:pPr>
    <w:rPr>
      <w:rFonts w:eastAsia="Times New Roman"/>
      <w:sz w:val="24"/>
      <w:szCs w:val="24"/>
      <w:lang w:eastAsia="ru-RU"/>
    </w:rPr>
  </w:style>
  <w:style w:type="paragraph" w:customStyle="1" w:styleId="xl72">
    <w:name w:val="xl72"/>
    <w:basedOn w:val="a"/>
    <w:rsid w:val="001B7D95"/>
    <w:pPr>
      <w:pBdr>
        <w:top w:val="single" w:sz="4" w:space="0" w:color="auto"/>
        <w:left w:val="single" w:sz="4" w:space="0" w:color="auto"/>
        <w:bottom w:val="single" w:sz="4" w:space="0" w:color="auto"/>
        <w:right w:val="single" w:sz="4" w:space="0" w:color="auto"/>
      </w:pBdr>
      <w:spacing w:before="100" w:beforeAutospacing="1" w:after="100" w:afterAutospacing="1" w:line="240" w:lineRule="auto"/>
      <w:contextualSpacing w:val="0"/>
      <w:jc w:val="center"/>
      <w:textAlignment w:val="top"/>
    </w:pPr>
    <w:rPr>
      <w:rFonts w:ascii="Arial" w:eastAsia="Times New Roman" w:hAnsi="Arial" w:cs="Arial"/>
      <w:b/>
      <w:bCs/>
      <w:sz w:val="24"/>
      <w:szCs w:val="24"/>
      <w:lang w:eastAsia="ru-RU"/>
    </w:rPr>
  </w:style>
  <w:style w:type="paragraph" w:customStyle="1" w:styleId="xl73">
    <w:name w:val="xl73"/>
    <w:basedOn w:val="a"/>
    <w:rsid w:val="001B7D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contextualSpacing w:val="0"/>
      <w:textAlignment w:val="top"/>
    </w:pPr>
    <w:rPr>
      <w:rFonts w:eastAsia="Times New Roman"/>
      <w:b/>
      <w:bCs/>
      <w:color w:val="000000"/>
      <w:sz w:val="24"/>
      <w:szCs w:val="24"/>
      <w:lang w:eastAsia="ru-RU"/>
    </w:rPr>
  </w:style>
  <w:style w:type="paragraph" w:customStyle="1" w:styleId="xl74">
    <w:name w:val="xl74"/>
    <w:basedOn w:val="a"/>
    <w:rsid w:val="001B7D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contextualSpacing w:val="0"/>
      <w:textAlignment w:val="top"/>
    </w:pPr>
    <w:rPr>
      <w:rFonts w:eastAsia="Times New Roman"/>
      <w:color w:val="000000"/>
      <w:sz w:val="24"/>
      <w:szCs w:val="24"/>
      <w:lang w:eastAsia="ru-RU"/>
    </w:rPr>
  </w:style>
  <w:style w:type="paragraph" w:customStyle="1" w:styleId="xl75">
    <w:name w:val="xl75"/>
    <w:basedOn w:val="a"/>
    <w:rsid w:val="001B7D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contextualSpacing w:val="0"/>
      <w:textAlignment w:val="top"/>
    </w:pPr>
    <w:rPr>
      <w:rFonts w:eastAsia="Times New Roman"/>
      <w:b/>
      <w:bCs/>
      <w:color w:val="000000"/>
      <w:sz w:val="24"/>
      <w:szCs w:val="24"/>
      <w:lang w:eastAsia="ru-RU"/>
    </w:rPr>
  </w:style>
  <w:style w:type="paragraph" w:customStyle="1" w:styleId="xl76">
    <w:name w:val="xl76"/>
    <w:basedOn w:val="a"/>
    <w:rsid w:val="001B7D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contextualSpacing w:val="0"/>
      <w:textAlignment w:val="top"/>
    </w:pPr>
    <w:rPr>
      <w:rFonts w:eastAsia="Times New Roman"/>
      <w:color w:val="000000"/>
      <w:sz w:val="24"/>
      <w:szCs w:val="24"/>
      <w:lang w:eastAsia="ru-RU"/>
    </w:rPr>
  </w:style>
  <w:style w:type="paragraph" w:customStyle="1" w:styleId="xl77">
    <w:name w:val="xl77"/>
    <w:basedOn w:val="a"/>
    <w:rsid w:val="001B7D95"/>
    <w:pPr>
      <w:pBdr>
        <w:top w:val="single" w:sz="4" w:space="0" w:color="auto"/>
        <w:left w:val="single" w:sz="4" w:space="0" w:color="auto"/>
        <w:bottom w:val="single" w:sz="4" w:space="0" w:color="auto"/>
        <w:right w:val="single" w:sz="4" w:space="0" w:color="auto"/>
      </w:pBdr>
      <w:spacing w:before="100" w:beforeAutospacing="1" w:after="100" w:afterAutospacing="1" w:line="240" w:lineRule="auto"/>
      <w:contextualSpacing w:val="0"/>
      <w:jc w:val="center"/>
      <w:textAlignment w:val="top"/>
    </w:pPr>
    <w:rPr>
      <w:rFonts w:ascii="Arial" w:eastAsia="Times New Roman" w:hAnsi="Arial" w:cs="Arial"/>
      <w:b/>
      <w:bCs/>
      <w:sz w:val="24"/>
      <w:szCs w:val="24"/>
      <w:lang w:eastAsia="ru-RU"/>
    </w:rPr>
  </w:style>
  <w:style w:type="paragraph" w:customStyle="1" w:styleId="xl78">
    <w:name w:val="xl78"/>
    <w:basedOn w:val="a"/>
    <w:rsid w:val="001B7D95"/>
    <w:pPr>
      <w:pBdr>
        <w:top w:val="single" w:sz="4" w:space="0" w:color="auto"/>
        <w:left w:val="single" w:sz="4" w:space="0" w:color="auto"/>
        <w:bottom w:val="single" w:sz="4" w:space="0" w:color="auto"/>
      </w:pBdr>
      <w:spacing w:before="100" w:beforeAutospacing="1" w:after="100" w:afterAutospacing="1" w:line="240" w:lineRule="auto"/>
      <w:contextualSpacing w:val="0"/>
      <w:jc w:val="center"/>
      <w:textAlignment w:val="top"/>
    </w:pPr>
    <w:rPr>
      <w:rFonts w:ascii="Arial" w:eastAsia="Times New Roman" w:hAnsi="Arial" w:cs="Arial"/>
      <w:b/>
      <w:bCs/>
      <w:sz w:val="24"/>
      <w:szCs w:val="24"/>
      <w:lang w:eastAsia="ru-RU"/>
    </w:rPr>
  </w:style>
  <w:style w:type="paragraph" w:customStyle="1" w:styleId="xl79">
    <w:name w:val="xl79"/>
    <w:basedOn w:val="a"/>
    <w:rsid w:val="001B7D95"/>
    <w:pPr>
      <w:pBdr>
        <w:top w:val="single" w:sz="4" w:space="0" w:color="auto"/>
        <w:bottom w:val="single" w:sz="4" w:space="0" w:color="auto"/>
      </w:pBdr>
      <w:spacing w:before="100" w:beforeAutospacing="1" w:after="100" w:afterAutospacing="1" w:line="240" w:lineRule="auto"/>
      <w:contextualSpacing w:val="0"/>
      <w:jc w:val="center"/>
      <w:textAlignment w:val="top"/>
    </w:pPr>
    <w:rPr>
      <w:rFonts w:ascii="Arial" w:eastAsia="Times New Roman" w:hAnsi="Arial" w:cs="Arial"/>
      <w:b/>
      <w:bCs/>
      <w:sz w:val="24"/>
      <w:szCs w:val="24"/>
      <w:lang w:eastAsia="ru-RU"/>
    </w:rPr>
  </w:style>
  <w:style w:type="paragraph" w:customStyle="1" w:styleId="xl80">
    <w:name w:val="xl80"/>
    <w:basedOn w:val="a"/>
    <w:rsid w:val="001B7D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contextualSpacing w:val="0"/>
      <w:jc w:val="right"/>
      <w:textAlignment w:val="top"/>
    </w:pPr>
    <w:rPr>
      <w:rFonts w:eastAsia="Times New Roman"/>
      <w:b/>
      <w:bCs/>
      <w:color w:val="000000"/>
      <w:sz w:val="24"/>
      <w:szCs w:val="24"/>
      <w:lang w:eastAsia="ru-RU"/>
    </w:rPr>
  </w:style>
  <w:style w:type="paragraph" w:customStyle="1" w:styleId="xl81">
    <w:name w:val="xl81"/>
    <w:basedOn w:val="a"/>
    <w:rsid w:val="001B7D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contextualSpacing w:val="0"/>
      <w:jc w:val="right"/>
      <w:textAlignment w:val="top"/>
    </w:pPr>
    <w:rPr>
      <w:rFonts w:eastAsia="Times New Roman"/>
      <w:color w:val="000000"/>
      <w:sz w:val="24"/>
      <w:szCs w:val="24"/>
      <w:lang w:eastAsia="ru-RU"/>
    </w:rPr>
  </w:style>
  <w:style w:type="paragraph" w:customStyle="1" w:styleId="xl82">
    <w:name w:val="xl82"/>
    <w:basedOn w:val="a"/>
    <w:rsid w:val="001B7D95"/>
    <w:pPr>
      <w:pBdr>
        <w:left w:val="single" w:sz="4" w:space="0" w:color="auto"/>
        <w:bottom w:val="single" w:sz="4" w:space="0" w:color="auto"/>
        <w:right w:val="single" w:sz="4" w:space="0" w:color="auto"/>
      </w:pBdr>
      <w:spacing w:before="100" w:beforeAutospacing="1" w:after="100" w:afterAutospacing="1" w:line="240" w:lineRule="auto"/>
      <w:contextualSpacing w:val="0"/>
      <w:jc w:val="right"/>
      <w:textAlignment w:val="top"/>
    </w:pPr>
    <w:rPr>
      <w:rFonts w:eastAsia="Times New Roman"/>
      <w:sz w:val="24"/>
      <w:szCs w:val="24"/>
      <w:lang w:eastAsia="ru-RU"/>
    </w:rPr>
  </w:style>
  <w:style w:type="paragraph" w:customStyle="1" w:styleId="xl83">
    <w:name w:val="xl83"/>
    <w:basedOn w:val="a"/>
    <w:rsid w:val="001B7D95"/>
    <w:pPr>
      <w:pBdr>
        <w:top w:val="single" w:sz="4" w:space="0" w:color="auto"/>
        <w:left w:val="single" w:sz="4" w:space="0" w:color="auto"/>
        <w:bottom w:val="single" w:sz="4" w:space="0" w:color="auto"/>
      </w:pBdr>
      <w:shd w:val="clear" w:color="000000" w:fill="FFFFFF"/>
      <w:spacing w:before="100" w:beforeAutospacing="1" w:after="100" w:afterAutospacing="1" w:line="240" w:lineRule="auto"/>
      <w:contextualSpacing w:val="0"/>
      <w:jc w:val="center"/>
    </w:pPr>
    <w:rPr>
      <w:rFonts w:eastAsia="Times New Roman"/>
      <w:b/>
      <w:bCs/>
      <w:color w:val="000000"/>
      <w:sz w:val="24"/>
      <w:szCs w:val="24"/>
      <w:lang w:eastAsia="ru-RU"/>
    </w:rPr>
  </w:style>
  <w:style w:type="paragraph" w:customStyle="1" w:styleId="xl84">
    <w:name w:val="xl84"/>
    <w:basedOn w:val="a"/>
    <w:rsid w:val="001B7D95"/>
    <w:pPr>
      <w:pBdr>
        <w:top w:val="single" w:sz="4" w:space="0" w:color="auto"/>
        <w:bottom w:val="single" w:sz="4" w:space="0" w:color="auto"/>
      </w:pBdr>
      <w:shd w:val="clear" w:color="000000" w:fill="FFFFFF"/>
      <w:spacing w:before="100" w:beforeAutospacing="1" w:after="100" w:afterAutospacing="1" w:line="240" w:lineRule="auto"/>
      <w:contextualSpacing w:val="0"/>
      <w:jc w:val="center"/>
    </w:pPr>
    <w:rPr>
      <w:rFonts w:eastAsia="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12822">
      <w:bodyDiv w:val="1"/>
      <w:marLeft w:val="0"/>
      <w:marRight w:val="0"/>
      <w:marTop w:val="0"/>
      <w:marBottom w:val="0"/>
      <w:divBdr>
        <w:top w:val="none" w:sz="0" w:space="0" w:color="auto"/>
        <w:left w:val="none" w:sz="0" w:space="0" w:color="auto"/>
        <w:bottom w:val="none" w:sz="0" w:space="0" w:color="auto"/>
        <w:right w:val="none" w:sz="0" w:space="0" w:color="auto"/>
      </w:divBdr>
    </w:div>
    <w:div w:id="123727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1439</Words>
  <Characters>8208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Моденова Ирина Владимировна</dc:creator>
  <cp:keywords/>
  <dc:description/>
  <cp:lastModifiedBy>Моденова Ирина Владимировна</cp:lastModifiedBy>
  <cp:revision>3</cp:revision>
  <dcterms:created xsi:type="dcterms:W3CDTF">2023-09-27T06:41:00Z</dcterms:created>
  <dcterms:modified xsi:type="dcterms:W3CDTF">2023-09-27T08:44:00Z</dcterms:modified>
</cp:coreProperties>
</file>